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1118" w14:textId="2D7B1BEE" w:rsidR="00BE51B1" w:rsidRPr="00914642" w:rsidRDefault="00BE51B1" w:rsidP="00BE51B1">
      <w:pPr>
        <w:spacing w:after="0"/>
        <w:rPr>
          <w:rFonts w:ascii="Times New Roman" w:hAnsi="Times New Roman" w:cs="Times New Roman"/>
          <w:color w:val="FF0000"/>
          <w:sz w:val="32"/>
          <w:szCs w:val="32"/>
          <w:lang w:val="kk-KZ"/>
        </w:rPr>
      </w:pPr>
      <w:r w:rsidRPr="00914642">
        <w:rPr>
          <w:rFonts w:ascii="Times New Roman" w:hAnsi="Times New Roman" w:cs="Times New Roman"/>
          <w:color w:val="FF0000"/>
          <w:sz w:val="32"/>
          <w:szCs w:val="32"/>
          <w:highlight w:val="green"/>
          <w:lang w:val="kk-KZ"/>
        </w:rPr>
        <w:t>13 Дәріс</w:t>
      </w:r>
      <w:r w:rsidRPr="00914642">
        <w:rPr>
          <w:rFonts w:ascii="Times New Roman" w:hAnsi="Times New Roman" w:cs="Times New Roman"/>
          <w:color w:val="FF0000"/>
          <w:sz w:val="32"/>
          <w:szCs w:val="32"/>
          <w:lang w:val="kk-KZ"/>
        </w:rPr>
        <w:t xml:space="preserve"> -</w:t>
      </w:r>
      <w:r w:rsidR="00914642" w:rsidRPr="00914642">
        <w:rPr>
          <w:color w:val="FF0000"/>
          <w:sz w:val="32"/>
          <w:szCs w:val="32"/>
          <w:lang w:val="kk-KZ"/>
        </w:rPr>
        <w:t xml:space="preserve"> </w:t>
      </w:r>
      <w:r w:rsidR="00914642" w:rsidRPr="00914642">
        <w:rPr>
          <w:color w:val="FF0000"/>
          <w:sz w:val="32"/>
          <w:szCs w:val="32"/>
          <w:highlight w:val="yellow"/>
          <w:lang w:val="kk-KZ"/>
        </w:rPr>
        <w:t>Мемлекеттік ақпараттық саясат</w:t>
      </w:r>
    </w:p>
    <w:p w14:paraId="78669A89" w14:textId="77777777" w:rsidR="00BE51B1" w:rsidRPr="00914642" w:rsidRDefault="00BE51B1" w:rsidP="00BE51B1">
      <w:pPr>
        <w:spacing w:after="0"/>
        <w:rPr>
          <w:rFonts w:ascii="Times New Roman" w:hAnsi="Times New Roman" w:cs="Times New Roman"/>
          <w:b/>
          <w:bCs/>
          <w:color w:val="FF0000"/>
          <w:sz w:val="32"/>
          <w:szCs w:val="32"/>
          <w:lang w:val="kk-KZ"/>
        </w:rPr>
      </w:pPr>
    </w:p>
    <w:p w14:paraId="13436B4A" w14:textId="77777777" w:rsidR="00BE51B1" w:rsidRPr="00914642" w:rsidRDefault="00BE51B1" w:rsidP="00BE51B1">
      <w:pPr>
        <w:spacing w:after="0"/>
        <w:rPr>
          <w:rFonts w:ascii="Times New Roman" w:hAnsi="Times New Roman" w:cs="Times New Roman"/>
          <w:b/>
          <w:bCs/>
          <w:color w:val="0070C0"/>
          <w:sz w:val="32"/>
          <w:szCs w:val="32"/>
          <w:lang w:val="kk-KZ"/>
        </w:rPr>
      </w:pPr>
      <w:r w:rsidRPr="00914642">
        <w:rPr>
          <w:rFonts w:ascii="Times New Roman" w:hAnsi="Times New Roman" w:cs="Times New Roman"/>
          <w:b/>
          <w:bCs/>
          <w:color w:val="0070C0"/>
          <w:sz w:val="32"/>
          <w:szCs w:val="32"/>
          <w:lang w:val="kk-KZ"/>
        </w:rPr>
        <w:t>Сұрақтар:</w:t>
      </w:r>
    </w:p>
    <w:p w14:paraId="1C77B08E" w14:textId="66EB547F" w:rsidR="00BE51B1" w:rsidRPr="00914642" w:rsidRDefault="00BE51B1" w:rsidP="00BE51B1">
      <w:pPr>
        <w:spacing w:after="0"/>
        <w:rPr>
          <w:rFonts w:ascii="Times New Roman" w:hAnsi="Times New Roman" w:cs="Times New Roman"/>
          <w:color w:val="FF0000"/>
          <w:sz w:val="32"/>
          <w:szCs w:val="32"/>
          <w:lang w:val="kk-KZ"/>
        </w:rPr>
      </w:pPr>
      <w:r w:rsidRPr="00914642">
        <w:rPr>
          <w:rFonts w:ascii="Times New Roman" w:hAnsi="Times New Roman" w:cs="Times New Roman"/>
          <w:color w:val="FF0000"/>
          <w:sz w:val="32"/>
          <w:szCs w:val="32"/>
          <w:lang w:val="kk-KZ"/>
        </w:rPr>
        <w:t xml:space="preserve">1.1 </w:t>
      </w:r>
      <w:r w:rsidR="00914642" w:rsidRPr="00914642">
        <w:rPr>
          <w:color w:val="FF0000"/>
          <w:sz w:val="32"/>
          <w:szCs w:val="32"/>
          <w:lang w:val="kk-KZ"/>
        </w:rPr>
        <w:t>Мемлекеттік ақпараттық саясат</w:t>
      </w:r>
    </w:p>
    <w:p w14:paraId="36BCF3AE" w14:textId="5A127236" w:rsidR="00BE51B1" w:rsidRPr="00914642" w:rsidRDefault="00BE51B1" w:rsidP="00BE51B1">
      <w:pPr>
        <w:spacing w:after="0"/>
        <w:rPr>
          <w:rFonts w:ascii="Times New Roman" w:hAnsi="Times New Roman" w:cs="Times New Roman"/>
          <w:color w:val="FF0000"/>
          <w:sz w:val="32"/>
          <w:szCs w:val="32"/>
          <w:lang w:val="kk-KZ"/>
        </w:rPr>
      </w:pPr>
      <w:r w:rsidRPr="00914642">
        <w:rPr>
          <w:rFonts w:ascii="Times New Roman" w:hAnsi="Times New Roman" w:cs="Times New Roman"/>
          <w:color w:val="FF0000"/>
          <w:sz w:val="32"/>
          <w:szCs w:val="32"/>
          <w:lang w:val="kk-KZ"/>
        </w:rPr>
        <w:t xml:space="preserve">1.2 </w:t>
      </w:r>
      <w:r w:rsidR="00914642">
        <w:rPr>
          <w:color w:val="FF0000"/>
          <w:sz w:val="32"/>
          <w:szCs w:val="32"/>
          <w:lang w:val="kk-KZ"/>
        </w:rPr>
        <w:t>А</w:t>
      </w:r>
      <w:r w:rsidR="00914642" w:rsidRPr="00914642">
        <w:rPr>
          <w:color w:val="FF0000"/>
          <w:sz w:val="32"/>
          <w:szCs w:val="32"/>
          <w:lang w:val="kk-KZ"/>
        </w:rPr>
        <w:t>қпараттық саясат</w:t>
      </w:r>
      <w:r w:rsidR="00914642">
        <w:rPr>
          <w:color w:val="FF0000"/>
          <w:sz w:val="32"/>
          <w:szCs w:val="32"/>
          <w:lang w:val="kk-KZ"/>
        </w:rPr>
        <w:t>ты дамыту тиімділігі</w:t>
      </w:r>
    </w:p>
    <w:p w14:paraId="09DD279E" w14:textId="77777777" w:rsidR="00BE51B1" w:rsidRPr="00914642" w:rsidRDefault="00BE51B1" w:rsidP="00BE51B1">
      <w:pPr>
        <w:spacing w:after="0"/>
        <w:rPr>
          <w:rFonts w:ascii="Times New Roman" w:hAnsi="Times New Roman" w:cs="Times New Roman"/>
          <w:b/>
          <w:bCs/>
          <w:color w:val="FF0000"/>
          <w:sz w:val="32"/>
          <w:szCs w:val="32"/>
          <w:lang w:val="kk-KZ"/>
        </w:rPr>
      </w:pPr>
      <w:r w:rsidRPr="00914642">
        <w:rPr>
          <w:rFonts w:ascii="Times New Roman" w:hAnsi="Times New Roman" w:cs="Times New Roman"/>
          <w:b/>
          <w:bCs/>
          <w:color w:val="FF0000"/>
          <w:sz w:val="32"/>
          <w:szCs w:val="32"/>
          <w:lang w:val="kk-KZ"/>
        </w:rPr>
        <w:t xml:space="preserve">    </w:t>
      </w:r>
    </w:p>
    <w:p w14:paraId="04457DDE" w14:textId="52F892E7" w:rsidR="00BE51B1" w:rsidRPr="00914642" w:rsidRDefault="00BE51B1" w:rsidP="00BE51B1">
      <w:pPr>
        <w:rPr>
          <w:color w:val="0070C0"/>
          <w:sz w:val="32"/>
          <w:szCs w:val="32"/>
          <w:lang w:val="kk-KZ"/>
        </w:rPr>
      </w:pPr>
      <w:r w:rsidRPr="00914642">
        <w:rPr>
          <w:rFonts w:ascii="Times New Roman" w:hAnsi="Times New Roman" w:cs="Times New Roman"/>
          <w:b/>
          <w:bCs/>
          <w:color w:val="FF0000"/>
          <w:sz w:val="32"/>
          <w:szCs w:val="32"/>
          <w:lang w:val="kk-KZ"/>
        </w:rPr>
        <w:t xml:space="preserve">  </w:t>
      </w:r>
      <w:r w:rsidRPr="00914642">
        <w:rPr>
          <w:rFonts w:ascii="Times New Roman" w:hAnsi="Times New Roman" w:cs="Times New Roman"/>
          <w:b/>
          <w:bCs/>
          <w:color w:val="FF0000"/>
          <w:sz w:val="32"/>
          <w:szCs w:val="32"/>
          <w:highlight w:val="green"/>
          <w:lang w:val="kk-KZ"/>
        </w:rPr>
        <w:t>Мақсаты:</w:t>
      </w:r>
      <w:r w:rsidRPr="00914642">
        <w:rPr>
          <w:rFonts w:ascii="Times New Roman" w:hAnsi="Times New Roman" w:cs="Times New Roman"/>
          <w:color w:val="FF0000"/>
          <w:sz w:val="32"/>
          <w:szCs w:val="32"/>
          <w:highlight w:val="green"/>
          <w:lang w:val="kk-KZ"/>
        </w:rPr>
        <w:t xml:space="preserve">  </w:t>
      </w:r>
      <w:r w:rsidRPr="00914642">
        <w:rPr>
          <w:rFonts w:ascii="Times New Roman" w:hAnsi="Times New Roman" w:cs="Times New Roman"/>
          <w:color w:val="0070C0"/>
          <w:sz w:val="32"/>
          <w:szCs w:val="32"/>
          <w:highlight w:val="green"/>
          <w:lang w:val="kk-KZ"/>
        </w:rPr>
        <w:t xml:space="preserve">докторанттарға   </w:t>
      </w:r>
      <w:r w:rsidR="00914642">
        <w:rPr>
          <w:color w:val="0070C0"/>
          <w:sz w:val="32"/>
          <w:szCs w:val="32"/>
          <w:lang w:val="kk-KZ"/>
        </w:rPr>
        <w:t>м</w:t>
      </w:r>
      <w:r w:rsidR="00914642" w:rsidRPr="00914642">
        <w:rPr>
          <w:color w:val="0070C0"/>
          <w:sz w:val="32"/>
          <w:szCs w:val="32"/>
          <w:lang w:val="kk-KZ"/>
        </w:rPr>
        <w:t>емлекеттік ақпараттық саясат</w:t>
      </w:r>
      <w:r w:rsidR="00914642">
        <w:rPr>
          <w:color w:val="0070C0"/>
          <w:sz w:val="32"/>
          <w:szCs w:val="32"/>
          <w:lang w:val="kk-KZ"/>
        </w:rPr>
        <w:t>ты</w:t>
      </w:r>
      <w:r w:rsidRPr="00914642">
        <w:rPr>
          <w:rFonts w:ascii="Times New Roman" w:hAnsi="Times New Roman" w:cs="Times New Roman"/>
          <w:color w:val="0070C0"/>
          <w:sz w:val="32"/>
          <w:szCs w:val="32"/>
          <w:highlight w:val="green"/>
          <w:lang w:val="kk-KZ"/>
        </w:rPr>
        <w:t xml:space="preserve">                                                     жан-жақ</w:t>
      </w:r>
      <w:r w:rsidR="00914642" w:rsidRPr="00914642">
        <w:rPr>
          <w:rFonts w:ascii="Times New Roman" w:hAnsi="Times New Roman" w:cs="Times New Roman"/>
          <w:color w:val="0070C0"/>
          <w:sz w:val="32"/>
          <w:szCs w:val="32"/>
          <w:highlight w:val="green"/>
          <w:lang w:val="kk-KZ"/>
        </w:rPr>
        <w:t>т</w:t>
      </w:r>
      <w:r w:rsidRPr="00914642">
        <w:rPr>
          <w:rFonts w:ascii="Times New Roman" w:hAnsi="Times New Roman" w:cs="Times New Roman"/>
          <w:color w:val="0070C0"/>
          <w:sz w:val="32"/>
          <w:szCs w:val="32"/>
          <w:highlight w:val="green"/>
          <w:lang w:val="kk-KZ"/>
        </w:rPr>
        <w:t xml:space="preserve">ы түсіндіру  </w:t>
      </w:r>
    </w:p>
    <w:p w14:paraId="15E2ADF5" w14:textId="4357F39C" w:rsidR="002236E1" w:rsidRPr="008E5E63" w:rsidRDefault="008E5E63">
      <w:pPr>
        <w:rPr>
          <w:lang w:val="kk-KZ"/>
        </w:rPr>
      </w:pPr>
      <w:r w:rsidRPr="008E5E63">
        <w:rPr>
          <w:rFonts w:ascii="Arial" w:hAnsi="Arial" w:cs="Arial"/>
          <w:b/>
          <w:bCs/>
          <w:color w:val="202122"/>
          <w:shd w:val="clear" w:color="auto" w:fill="FFFFFF"/>
          <w:lang w:val="kk-KZ"/>
        </w:rPr>
        <w:t>Ақпараттық саясат</w:t>
      </w:r>
      <w:r w:rsidRPr="008E5E63">
        <w:rPr>
          <w:rFonts w:ascii="Arial" w:hAnsi="Arial" w:cs="Arial"/>
          <w:color w:val="202122"/>
          <w:shd w:val="clear" w:color="auto" w:fill="FFFFFF"/>
          <w:lang w:val="kk-KZ"/>
        </w:rPr>
        <w:t> - қоғамдағы ақпараттар желісін дамытуға бағытталған </w:t>
      </w:r>
      <w:hyperlink r:id="rId4" w:tooltip="Мемлекеттік орган (мұндай бет жоқ)" w:history="1">
        <w:r w:rsidRPr="008E5E63">
          <w:rPr>
            <w:rStyle w:val="ac"/>
            <w:rFonts w:ascii="Arial" w:hAnsi="Arial" w:cs="Arial"/>
            <w:color w:val="BA0000"/>
            <w:shd w:val="clear" w:color="auto" w:fill="FFFFFF"/>
            <w:lang w:val="kk-KZ"/>
          </w:rPr>
          <w:t>мемлекеттік органдардың</w:t>
        </w:r>
      </w:hyperlink>
      <w:r w:rsidRPr="008E5E63">
        <w:rPr>
          <w:rFonts w:ascii="Arial" w:hAnsi="Arial" w:cs="Arial"/>
          <w:color w:val="202122"/>
          <w:shd w:val="clear" w:color="auto" w:fill="FFFFFF"/>
          <w:lang w:val="kk-KZ"/>
        </w:rPr>
        <w:t> реттеушілік қызметі. Бұл тек </w:t>
      </w:r>
      <w:hyperlink r:id="rId5" w:tooltip="Телекоммуникациялар" w:history="1">
        <w:r w:rsidRPr="008E5E63">
          <w:rPr>
            <w:rStyle w:val="ac"/>
            <w:rFonts w:ascii="Arial" w:hAnsi="Arial" w:cs="Arial"/>
            <w:color w:val="339933"/>
            <w:shd w:val="clear" w:color="auto" w:fill="FFFFFF"/>
            <w:lang w:val="kk-KZ"/>
          </w:rPr>
          <w:t>телекоммуникацияларды</w:t>
        </w:r>
      </w:hyperlink>
      <w:r w:rsidRPr="008E5E63">
        <w:rPr>
          <w:rFonts w:ascii="Arial" w:hAnsi="Arial" w:cs="Arial"/>
          <w:color w:val="202122"/>
          <w:shd w:val="clear" w:color="auto" w:fill="FFFFFF"/>
          <w:lang w:val="kk-KZ"/>
        </w:rPr>
        <w:t>, ақпараттық жүйелерді немесе бұқаралық ақпарат құралдарын ғана емес, барлық түрдегі - іскерлік, ғылыми-танымдық, хабарламалық және т.б. сипаттағы ақпараттарды жасауға, сақтауға, өңдеуге, көрсетуге, таратуға байланысты өндірістік үрдістер мен қарым-қатынастардың бүкіл жиынтығын қамтиды. Ақпараттық саясатты бұлайша түсіндіру ақпарат индустриясының әрқилы секторларының арасындағы кедергілерді жоя отырып, қарқынды дамып келе жатқан телекоммуникацияларды, компьютерлік технологияларды жаңалау үрдісіне, ақпараттарды цифрлау ісіне негізделіп отыр. Мемлекет өзінің экономикалық, әлеуметтік-саяси, ұлттық мүдделеріне сәйкес Ақпараттық саясат ұстанады. Мемлекет тарихындағы түбірлі реформалық өзгерістерге орай дұрыс таңдап алған Ақпараттық саясат қоғамның мүдделі мұраттарына жол бастап, өзіндік материалдық-рухани құндылықтарын сақтай отырып, әлемдік өркениет деңгейіне көтерілуге қызмет етед</w:t>
      </w:r>
    </w:p>
    <w:p w14:paraId="33CC63A2" w14:textId="77777777" w:rsidR="008E5E63" w:rsidRPr="008E5E63" w:rsidRDefault="008E5E63" w:rsidP="008E5E63">
      <w:pPr>
        <w:shd w:val="clear" w:color="auto" w:fill="E8E9EB"/>
        <w:spacing w:after="0" w:line="450" w:lineRule="atLeast"/>
        <w:textAlignment w:val="baseline"/>
        <w:outlineLvl w:val="0"/>
        <w:rPr>
          <w:rFonts w:ascii="Arial" w:eastAsia="Times New Roman" w:hAnsi="Arial" w:cs="Arial"/>
          <w:color w:val="444444"/>
          <w:kern w:val="36"/>
          <w:sz w:val="39"/>
          <w:szCs w:val="39"/>
          <w:lang w:val="kk-KZ" w:eastAsia="ru-RU"/>
        </w:rPr>
      </w:pPr>
      <w:r w:rsidRPr="008E5E63">
        <w:rPr>
          <w:rFonts w:ascii="Arial" w:eastAsia="Times New Roman" w:hAnsi="Arial" w:cs="Arial"/>
          <w:color w:val="444444"/>
          <w:kern w:val="36"/>
          <w:sz w:val="39"/>
          <w:szCs w:val="39"/>
          <w:lang w:val="kk-KZ" w:eastAsia="ru-RU"/>
        </w:rPr>
        <w:t>Мемлекеттік ақпараттық саясатты қалыптастыру мәселелері жөніндегі өңірлік комиссиялар туралы үлгі ережені бекіту туралы</w:t>
      </w:r>
    </w:p>
    <w:p w14:paraId="43170808" w14:textId="77777777" w:rsidR="008E5E63" w:rsidRPr="008E5E63" w:rsidRDefault="008E5E63" w:rsidP="008E5E63">
      <w:pPr>
        <w:shd w:val="clear" w:color="auto" w:fill="E8E9EB"/>
        <w:spacing w:before="120" w:after="0" w:line="285" w:lineRule="atLeast"/>
        <w:textAlignment w:val="baseline"/>
        <w:rPr>
          <w:rFonts w:ascii="Arial" w:eastAsia="Times New Roman" w:hAnsi="Arial" w:cs="Arial"/>
          <w:color w:val="666666"/>
          <w:spacing w:val="2"/>
          <w:sz w:val="20"/>
          <w:szCs w:val="20"/>
          <w:lang w:val="kk-KZ" w:eastAsia="ru-RU"/>
        </w:rPr>
      </w:pPr>
      <w:r w:rsidRPr="008E5E63">
        <w:rPr>
          <w:rFonts w:ascii="Arial" w:eastAsia="Times New Roman" w:hAnsi="Arial" w:cs="Arial"/>
          <w:color w:val="666666"/>
          <w:spacing w:val="2"/>
          <w:sz w:val="20"/>
          <w:szCs w:val="20"/>
          <w:lang w:val="kk-KZ" w:eastAsia="ru-RU"/>
        </w:rPr>
        <w:t>Қазақстан Республикасы Ақпарат және қоғамдық даму министрінің 2021 жылғы 6 мамырдағы № 156 бұйрығы. Қазақстан Республикасының Әділет министрлігінде 2021 жылғы 12 мамырда № 22746 болып тіркелді</w:t>
      </w:r>
    </w:p>
    <w:p w14:paraId="71D165B1" w14:textId="77777777" w:rsidR="002236E1" w:rsidRDefault="002236E1">
      <w:pPr>
        <w:rPr>
          <w:lang w:val="kk-KZ"/>
        </w:rPr>
      </w:pPr>
    </w:p>
    <w:p w14:paraId="13FD545D"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Қоғам – экономикалық және рухани біртұтастық пен өмір сүру жағдайын ұйымдастырудың тұтастығымен сипатталатын, белгілі бір аумақтағы адамдар бірлігі. Саяси жүйе – елдің саяси өміріне қатысатын мемлекет пен мемлекеттік емес қоғамдық құрылымдардың біртұтас кешенде қарастырылуы. Қоғамның саяси жүйесі – мемлекеттік және қоғамдық ұйымдардың, еңбек ұжымдарының бірігіп, елдің саяси өміріне кірісіп, қоғамды дамытуға, нығайтуға үлес қосуы. Саяси жүйенің ең күрделі, ең маңызды элементі – мемлекет. Саяси жүйенің қоғамды басқарудағы ең орталық буыны – мемлекет. Біріншіден, ол саяси жүйенің билігін, мүдде-мақсатын іске асыратын ең негізгі аппарат. Екіншіден, мемлекет саяси жүйенің барлық элементін біріктіріп, саяси функция арқылы қоғамның игілікті құндылықтарын әділетті бөлу процесін басқарып отырады.</w:t>
      </w:r>
    </w:p>
    <w:p w14:paraId="789A3A4B"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lastRenderedPageBreak/>
        <w:t>Саясаттың басты ерекшелігіне оның әртүрлі мүдделерді үйлестіре алатын, әлеуметтік қатынастарды реттеп, қоғамның тұрақтылығын қамтамасыз ететін қасиеті жатады. Мемлекеттік саясаттың тағы бір өзекті де күрделі бағыттарының бірі – мемлекеттің дін саласындағы саясаты. Еліміздегі дін саласындағы саясатының негізгі бағыт бағдары зайырлылық қағидаттары, конфессияаралық және ұлтаралық келісім, экстремизм мен терроризмге қарсы күрес болып табылады. Жоғарыда айтылғандардың негізінде мемлекеттің дін саласындағы саясаты жасақталып, ел игілігі үшін жұмыс атқарады.</w:t>
      </w:r>
    </w:p>
    <w:p w14:paraId="4FBB3D2A"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Егемен еліміздің ең үлкен жетістіктерінің бірі – ел азаматтары арасындағы бірлік. Ұлтаралық және дінаралық келісімнің нығаюы, 130-дан астам ұлт пен ұлыстың, 18 конфессия өкілдерінің тату-тәтті, бейбіт өмір кешіп жатқан Қазақстан бүгінде әлем елдеріне үлгі өнеге.</w:t>
      </w:r>
    </w:p>
    <w:p w14:paraId="5D266014"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Қазақстан Республикасы Конституциясының 1-бабы 1-тармағында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деп атап көрсетілген. Заманауи шынайылықтағы зайырлы мемлекет ұғымының мазмұны құқықтық, демократиялық құндылықтарға негізделген және сенім мәселесінде дінге мүмкіндік беретін мемлекет ретінде тұжырымдалады. Сондықтан дінаралық қарым-қатынас тәжірибесі әлем назарына ілігіп отырғаны белгілі. Ата заңымызда дін мен мемлекет бөлек дегенімізбен дінді қоғамнан, адамнан бөліп жару мүмкін емес.</w:t>
      </w:r>
    </w:p>
    <w:p w14:paraId="2440C7B8"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Зайырлылық – мемлекет пен діннің бір-бірінен бөлінуі, мемлекеттің әлеуметтік, саяси, және құқықтық негізгі жүйесінің аз да болса діни қағидаларға сүйенбеуін білдіреді. Мемлекет пен зайырлылық ұстанымы ешқандай дінге бөгет жасамайды, тек мемлекеттің дін саласына араласпауы және белгілі бір діни ұстанымға басымдық бермейтініне кепілдік беруі.</w:t>
      </w:r>
    </w:p>
    <w:p w14:paraId="643A9943"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 xml:space="preserve">Зайырлылық ұғымы дін саласында барынша ашықтықты, анық саясат ұстанатынын көрсетеді. Зайырлылық қағидатына сәйкес, дін мен мемлекет бөлек дегенімізбен дінді қоғамнан, адамнан бөліп алып қарастыра алмаймыз. Қандай заман болмасын адам жүрегінде белгілі бір тылсым күштің бар екенін сезетін тетік бар деп айтсақ артық болмас. Егемен еліміздің аяққа тұрып, басқа да мемлекеттермен иық тіресіп тұруына зайырлылық қағидаттарының да үлесі орасан зор екенін ұмытпауымыз тиіс. Сонымен қатар, қандай дін болмасын адамзаттың </w:t>
      </w:r>
      <w:r w:rsidRPr="008E5E63">
        <w:rPr>
          <w:rFonts w:ascii="Open Sans" w:hAnsi="Open Sans" w:cs="Open Sans"/>
          <w:color w:val="333333"/>
          <w:sz w:val="26"/>
          <w:szCs w:val="26"/>
          <w:lang w:val="kk-KZ"/>
        </w:rPr>
        <w:lastRenderedPageBreak/>
        <w:t>құндылығына негізделген, Қазақстан халқының бірлігіне нұқсан келтірмейтін діндерге қарсы еместігін, тиісінше қолдау көрсетілетінін мәлімдеген болатын.               </w:t>
      </w:r>
    </w:p>
    <w:p w14:paraId="37167AC1"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Конфессияаралық келісім – тәуелсіз еліміздің халқы үшін өзара түсіністікті қажет ететін қастерлі құндылық. Қандай да бір мемлекеттің дамуы үшін қоғамда ішкі тұрақтылық қажет. Еліміздің мемлекеттік саясаты азаматтардың құқықтары мен бостандықтарын құрметтеуге негізделген қағидаттарды басшылыққа алады. Сонымен бірге, елдегі қалыптасқан мемлекеттік-конфессиялық қатынастар барлық конфессиялар мен діни топтардың тең құқықтығын қамтамасыз етуге бағытталған. Әр түрлі конфессия өкілдерімен достық қарым-қатынас орнатып, оларға қамқорлық көрсету, толерантты болу адами құндылықтардың шыңы болып табылады. Еліміздің осы сала бойынша жеткен жетістігі жетерлік. Еліміздің тұрақты дамуының кепілі – бейбітшілік пен ынтымақтастықта.</w:t>
      </w:r>
    </w:p>
    <w:p w14:paraId="747008AA"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Қазақстан Республикасының 2011 жылы қабылданған «Діни қызмет және діни бірлестіктер туралы» заңында: «Ханафи бағытындағы исламның және православтық христиандықтың халықтың рухани өміріндегі тарихи рөлін мойындайтынымызды» айтылады. Тарих қойнауына көз салсақ, қазақ даласында Ислам діні бастауын VIIІ ғасырдан алып, бүгінгі күнімізге дейін өміршеңдігін жоғалтпай, ұлт болып ұйып отырғанымызға өзіндік ықпалын тигізді. Христиан дінінің православ бағыты да елеулі орындардың бірін алады. Қазақстан жеріне қоныс аударылған орыстар, украиндер және т.б. ұлт өкілдерінің негізгі діні болып саналды. Осылайша, екі дін Қазақстан халқының бірлігінің артуына айтарлықтай үлес қосуда.  </w:t>
      </w:r>
    </w:p>
    <w:p w14:paraId="090957B3"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Мемлекеттің дін саласындағы келесі бер ең өзекті бағыты – экстремизм мен террорризмге қарсы күрес. Экстремизм мен терроризм жаһандану дәуіріндегі ұлттық қауіпсіздігіне тікелей әсер ететін сыртқы және ішкі факторлардың әсер етуімен жүзеге асатын күрделі саяси пиғыл. Ешқандай мемлекет немесе ұлт бұл пәлекеттен 100% арыла алмаған. Әлемнің дамыған және артта қалған елдердің өзінде экстремистік және террорлық іс-әрекеттер болып тұрады. Түрлі күштердің арласуы, кейбір кездерде әлемдік мәселеге айналып жатады. Осы секілді теріс ұғымдарға қарсы үгіт-наисхат, ақпарттық-түсіндіру, азаматтардың бойында табандылық пен патриотимзді дәріптеуді тоқтатпауымыз қажет.   </w:t>
      </w:r>
    </w:p>
    <w:p w14:paraId="46761DE8" w14:textId="77777777" w:rsidR="008E5E63" w:rsidRPr="008E5E63" w:rsidRDefault="008E5E63" w:rsidP="008E5E63">
      <w:pPr>
        <w:pStyle w:val="ad"/>
        <w:shd w:val="clear" w:color="auto" w:fill="FFFFFF"/>
        <w:spacing w:before="180" w:beforeAutospacing="0" w:after="288" w:afterAutospacing="0"/>
        <w:jc w:val="both"/>
        <w:rPr>
          <w:rFonts w:ascii="Open Sans" w:hAnsi="Open Sans" w:cs="Open Sans"/>
          <w:color w:val="333333"/>
          <w:sz w:val="26"/>
          <w:szCs w:val="26"/>
          <w:lang w:val="kk-KZ"/>
        </w:rPr>
      </w:pPr>
      <w:r w:rsidRPr="008E5E63">
        <w:rPr>
          <w:rFonts w:ascii="Open Sans" w:hAnsi="Open Sans" w:cs="Open Sans"/>
          <w:color w:val="333333"/>
          <w:sz w:val="26"/>
          <w:szCs w:val="26"/>
          <w:lang w:val="kk-KZ"/>
        </w:rPr>
        <w:t xml:space="preserve">Қорытындылай келе, мемлекеттің дін саласындағы саясаты өте күрделі жүйелердің бірі. Сондықтан да еліміздің даму жолында зайырлылықтың алатын орны орасан зор. Зайырлылық қағидаттары, ұлтаралық және </w:t>
      </w:r>
      <w:r w:rsidRPr="008E5E63">
        <w:rPr>
          <w:rFonts w:ascii="Open Sans" w:hAnsi="Open Sans" w:cs="Open Sans"/>
          <w:color w:val="333333"/>
          <w:sz w:val="26"/>
          <w:szCs w:val="26"/>
          <w:lang w:val="kk-KZ"/>
        </w:rPr>
        <w:lastRenderedPageBreak/>
        <w:t>дінаралық келісім – мемлекеттің баяндылығына, тәуелсіздігіміздің тұғырлы болуына қызмет ететін, еліміздің азаматтарының құқықтарын қорғайтын, діни бостандығына кепілдік беретін, заман талабына сай жасақталған жүйе. Экстремизм мен терроризмнің қандай да болсын сипаттарына, түрлеріне азамат болып, қоғам болып ат салысып қарсы тұруымыз қажет. Елдік пен егемендіктің мүддесіне қарсы түрде әрекет ететін түрлі саяси және діни топтарға тойтарыс беріп, азаматтық позициямызды ұмытпауымыз қажет</w:t>
      </w:r>
    </w:p>
    <w:p w14:paraId="24D7F2F1" w14:textId="77777777" w:rsidR="002236E1" w:rsidRDefault="002236E1">
      <w:pPr>
        <w:rPr>
          <w:lang w:val="kk-KZ"/>
        </w:rPr>
      </w:pPr>
    </w:p>
    <w:p w14:paraId="31791AC6" w14:textId="77777777" w:rsidR="002236E1" w:rsidRPr="00500D47" w:rsidRDefault="002236E1" w:rsidP="002236E1">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0E04E557"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6CDEF20D"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3FF8C672"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45E1E8A4"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6A6C4A2"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46D2214A"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0653F4B2"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5DDEF7DA"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4DD73FF5"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55BD8B12"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638D0F0C"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35873393"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1ED25DAE"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0760966F" w14:textId="77777777" w:rsidR="002236E1" w:rsidRPr="00500D47" w:rsidRDefault="002236E1" w:rsidP="002236E1">
      <w:pPr>
        <w:spacing w:after="0" w:line="240" w:lineRule="auto"/>
        <w:rPr>
          <w:rFonts w:ascii="Times New Roman" w:hAnsi="Times New Roman" w:cs="Times New Roman"/>
          <w:sz w:val="20"/>
          <w:szCs w:val="20"/>
          <w:lang w:val="kk-KZ"/>
        </w:rPr>
      </w:pPr>
    </w:p>
    <w:p w14:paraId="1F77D8F9"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53CB8838"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4235BC49"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22852499"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68D9C085"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04BB9E57"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2CB611ED"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5FDA6BEA"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596AE066"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742F9493"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6063BE57"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6D8A0205"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627C61AA"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26. Сморгунов Л.В. Государственная политика и управление. Концепции и проблемы-М.: Юрайт, 2024. – 395 с</w:t>
      </w:r>
    </w:p>
    <w:p w14:paraId="58BBADAB"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33025D14" w14:textId="77777777" w:rsidR="002236E1" w:rsidRPr="00500D47" w:rsidRDefault="002236E1" w:rsidP="002236E1">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7CB98794" w14:textId="77777777" w:rsidR="002236E1" w:rsidRPr="00500D47" w:rsidRDefault="002236E1" w:rsidP="002236E1">
      <w:pPr>
        <w:rPr>
          <w:rFonts w:ascii="Times New Roman" w:hAnsi="Times New Roman" w:cs="Times New Roman"/>
          <w:sz w:val="20"/>
          <w:szCs w:val="20"/>
          <w:lang w:val="kk-KZ"/>
        </w:rPr>
      </w:pPr>
    </w:p>
    <w:p w14:paraId="74932542" w14:textId="77777777" w:rsidR="002236E1" w:rsidRPr="00500D47" w:rsidRDefault="002236E1" w:rsidP="002236E1">
      <w:pPr>
        <w:rPr>
          <w:rFonts w:ascii="Times New Roman" w:hAnsi="Times New Roman" w:cs="Times New Roman"/>
          <w:sz w:val="20"/>
          <w:szCs w:val="20"/>
          <w:lang w:val="kk-KZ"/>
        </w:rPr>
      </w:pPr>
    </w:p>
    <w:p w14:paraId="4C0955C7" w14:textId="77777777" w:rsidR="002236E1" w:rsidRPr="00500D47" w:rsidRDefault="002236E1" w:rsidP="002236E1">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1D2C966D"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529392FC"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027AC104"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A4B6668"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79A48736"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7E414E2"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401FC17"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1B30DDF7"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3CC01DE1"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1470FB7"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0E32A431"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47D1B4EE"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5316F317"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2789106"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6605A96"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9800A4D"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501815B2" w14:textId="77777777" w:rsidR="002236E1" w:rsidRPr="00500D47" w:rsidRDefault="002236E1" w:rsidP="002236E1">
      <w:pPr>
        <w:rPr>
          <w:rFonts w:ascii="Times New Roman" w:hAnsi="Times New Roman" w:cs="Times New Roman"/>
          <w:sz w:val="20"/>
          <w:szCs w:val="20"/>
          <w:lang w:val="kk-KZ"/>
        </w:rPr>
      </w:pPr>
    </w:p>
    <w:p w14:paraId="470532D1" w14:textId="77777777" w:rsidR="002236E1" w:rsidRPr="00500D47" w:rsidRDefault="002236E1" w:rsidP="002236E1">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2D7B5E02"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70D243A5"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4D7A17BD"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5FED7ECE" w14:textId="77777777" w:rsidR="002236E1" w:rsidRPr="00500D47" w:rsidRDefault="002236E1" w:rsidP="002236E1">
      <w:pPr>
        <w:spacing w:after="0"/>
        <w:rPr>
          <w:rFonts w:ascii="Times New Roman" w:hAnsi="Times New Roman" w:cs="Times New Roman"/>
          <w:sz w:val="20"/>
          <w:szCs w:val="20"/>
          <w:lang w:val="kk-KZ"/>
        </w:rPr>
      </w:pPr>
    </w:p>
    <w:p w14:paraId="35269A2D" w14:textId="77777777" w:rsidR="002236E1" w:rsidRPr="00500D47" w:rsidRDefault="002236E1" w:rsidP="002236E1">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24F5750F"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77988993" w14:textId="77777777" w:rsidR="002236E1" w:rsidRPr="00500D47" w:rsidRDefault="002236E1" w:rsidP="002236E1">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274587D7" w14:textId="77777777" w:rsidR="002236E1" w:rsidRPr="002236E1" w:rsidRDefault="002236E1">
      <w:pPr>
        <w:rPr>
          <w:lang w:val="kk-KZ"/>
        </w:rPr>
      </w:pPr>
    </w:p>
    <w:sectPr w:rsidR="002236E1" w:rsidRPr="00223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76"/>
    <w:rsid w:val="001632AF"/>
    <w:rsid w:val="002236E1"/>
    <w:rsid w:val="00310446"/>
    <w:rsid w:val="003E4217"/>
    <w:rsid w:val="003E6D87"/>
    <w:rsid w:val="008B56A5"/>
    <w:rsid w:val="008E4A45"/>
    <w:rsid w:val="008E5E63"/>
    <w:rsid w:val="00914642"/>
    <w:rsid w:val="00BE51B1"/>
    <w:rsid w:val="00EA4376"/>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F217"/>
  <w15:chartTrackingRefBased/>
  <w15:docId w15:val="{03534080-8952-47F3-874F-6CAD6970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6E1"/>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8E5E63"/>
    <w:rPr>
      <w:color w:val="0000FF"/>
      <w:u w:val="single"/>
    </w:rPr>
  </w:style>
  <w:style w:type="paragraph" w:styleId="ad">
    <w:name w:val="Normal (Web)"/>
    <w:basedOn w:val="a"/>
    <w:uiPriority w:val="99"/>
    <w:semiHidden/>
    <w:unhideWhenUsed/>
    <w:rsid w:val="008E5E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4229">
      <w:bodyDiv w:val="1"/>
      <w:marLeft w:val="0"/>
      <w:marRight w:val="0"/>
      <w:marTop w:val="0"/>
      <w:marBottom w:val="0"/>
      <w:divBdr>
        <w:top w:val="none" w:sz="0" w:space="0" w:color="auto"/>
        <w:left w:val="none" w:sz="0" w:space="0" w:color="auto"/>
        <w:bottom w:val="none" w:sz="0" w:space="0" w:color="auto"/>
        <w:right w:val="none" w:sz="0" w:space="0" w:color="auto"/>
      </w:divBdr>
    </w:div>
    <w:div w:id="3774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ki/%D0%A2%D0%B5%D0%BB%D0%B5%D0%BA%D0%BE%D0%BC%D0%BC%D1%83%D0%BD%D0%B8%D0%BA%D0%B0%D1%86%D0%B8%D1%8F%D0%BB%D0%B0%D1%80" TargetMode="External"/><Relationship Id="rId4" Type="http://schemas.openxmlformats.org/officeDocument/2006/relationships/hyperlink" Target="https://kk.wikipedia.org/w/index.php?title=%D0%9C%D0%B5%D0%BC%D0%BB%D0%B5%D0%BA%D0%B5%D1%82%D1%82%D1%96%D0%BA_%D0%BE%D1%80%D0%B3%D0%B0%D0%BD&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6</cp:revision>
  <dcterms:created xsi:type="dcterms:W3CDTF">2024-09-19T02:40:00Z</dcterms:created>
  <dcterms:modified xsi:type="dcterms:W3CDTF">2024-09-20T03:10:00Z</dcterms:modified>
</cp:coreProperties>
</file>